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45" w:rsidRPr="00EB74A5" w:rsidRDefault="00D50845" w:rsidP="00EB74A5">
      <w:pPr>
        <w:pStyle w:val="Default"/>
        <w:jc w:val="center"/>
        <w:rPr>
          <w:rFonts w:ascii="Times New Roman" w:hAnsi="Times New Roman" w:cs="Times New Roman"/>
          <w:b/>
          <w:bCs/>
          <w:sz w:val="28"/>
          <w:szCs w:val="28"/>
        </w:rPr>
      </w:pPr>
      <w:r w:rsidRPr="00EB74A5">
        <w:rPr>
          <w:rFonts w:ascii="Times New Roman" w:hAnsi="Times New Roman" w:cs="Times New Roman"/>
          <w:b/>
          <w:bCs/>
          <w:sz w:val="28"/>
          <w:szCs w:val="28"/>
        </w:rPr>
        <w:t>Správa EK o</w:t>
      </w:r>
      <w:r w:rsidR="00EB74A5">
        <w:rPr>
          <w:rFonts w:ascii="Times New Roman" w:hAnsi="Times New Roman" w:cs="Times New Roman"/>
          <w:b/>
          <w:bCs/>
          <w:sz w:val="28"/>
          <w:szCs w:val="28"/>
        </w:rPr>
        <w:t> krajine:</w:t>
      </w:r>
      <w:r w:rsidRPr="00EB74A5">
        <w:rPr>
          <w:rFonts w:ascii="Times New Roman" w:hAnsi="Times New Roman" w:cs="Times New Roman"/>
          <w:b/>
          <w:bCs/>
          <w:sz w:val="28"/>
          <w:szCs w:val="28"/>
        </w:rPr>
        <w:t xml:space="preserve"> Slovensko</w:t>
      </w:r>
      <w:r w:rsidR="00EB74A5">
        <w:rPr>
          <w:rFonts w:ascii="Times New Roman" w:hAnsi="Times New Roman" w:cs="Times New Roman"/>
          <w:b/>
          <w:bCs/>
          <w:sz w:val="28"/>
          <w:szCs w:val="28"/>
        </w:rPr>
        <w:t xml:space="preserve"> 201</w:t>
      </w:r>
      <w:r w:rsidR="004551FB">
        <w:rPr>
          <w:rFonts w:ascii="Times New Roman" w:hAnsi="Times New Roman" w:cs="Times New Roman"/>
          <w:b/>
          <w:bCs/>
          <w:sz w:val="28"/>
          <w:szCs w:val="28"/>
        </w:rPr>
        <w:t>7</w:t>
      </w:r>
      <w:bookmarkStart w:id="0" w:name="_GoBack"/>
      <w:bookmarkEnd w:id="0"/>
      <w:r w:rsidRPr="00EB74A5">
        <w:rPr>
          <w:rFonts w:ascii="Times New Roman" w:hAnsi="Times New Roman" w:cs="Times New Roman"/>
          <w:b/>
          <w:bCs/>
          <w:sz w:val="28"/>
          <w:szCs w:val="28"/>
        </w:rPr>
        <w:t>_časť Vzdelávanie a zručnosti</w:t>
      </w:r>
    </w:p>
    <w:p w:rsidR="00D50845" w:rsidRPr="00D50845" w:rsidRDefault="00D50845" w:rsidP="00D50845">
      <w:pPr>
        <w:pStyle w:val="Default"/>
        <w:rPr>
          <w:rFonts w:ascii="Times New Roman" w:hAnsi="Times New Roman" w:cs="Times New Roman"/>
        </w:rPr>
      </w:pPr>
    </w:p>
    <w:p w:rsidR="00D50845" w:rsidRPr="00D50845" w:rsidRDefault="00D50845" w:rsidP="00D50845">
      <w:pPr>
        <w:pStyle w:val="Default"/>
        <w:jc w:val="both"/>
        <w:rPr>
          <w:rFonts w:ascii="Times New Roman" w:hAnsi="Times New Roman" w:cs="Times New Roman"/>
        </w:rPr>
      </w:pPr>
      <w:r w:rsidRPr="00D50845">
        <w:rPr>
          <w:rFonts w:ascii="Times New Roman" w:hAnsi="Times New Roman" w:cs="Times New Roman"/>
          <w:b/>
          <w:bCs/>
        </w:rPr>
        <w:t xml:space="preserve">Výsledky študentov v základných zručnostiach sa ešte viac zhoršili a nerovnosti v oblasti vzdelávania zostávajú veľmi výrazné. </w:t>
      </w:r>
      <w:r w:rsidRPr="00D50845">
        <w:rPr>
          <w:rFonts w:ascii="Times New Roman" w:hAnsi="Times New Roman" w:cs="Times New Roman"/>
        </w:rPr>
        <w:t xml:space="preserve">Podľa Programu pre medzinárodné hodnotenie študentov (PISA) OECD z roku 2015 je podiel žiakov so slabými výsledkami vysoký vo všetkých testovaných oblastiach (31 % v oblasti vied, 32 % v čítaní a 28 % v matematike) a je výrazne vyšší než priemer EÚ. Priemerné výsledky sú takisto výrazne pod priemerom EÚ. Vplyv sociálno-ekonomickej situácie na výsledky vzdelávania je výrazný: rozdiely vo výkonnosti medzi hornou a dolnou sociálnou štvrtinou sociálno-ekonomického indexu PISA patrí k najvyšším v EÚ (viac než 35 percentuálnych bodov v porovnaní s priemerom EÚ na úrovni 26 percentuálnych bodov). Každý druhý žiak v najnižšom sociálnom kvartile je žiakom so slabými výsledkami. Podiel žiakov so slabými výsledkami vo vyšších sociálnych kvartiloch je zároveň takisto vyšší než vo väčšine ostatných krajín EÚ (OECD, 2016a). Vzhľadom na klesajúcu úroveň výsledkov vzdelávania, zvyšujúcu sa nerovnosť vo vzdelávaní a výrazný spoločenský tlak (vrátane štrajkov učiteľov) iniciovali orgány ambiciózne reformy na všetkých úrovniach vzdelávania a začali pripravovať 10-ročnú stratégiu vzdelávania. Po prebiehajúcom procese komplexnej konzultácie má nasledovať prijatie stratégie vlády začiatkom roka 2017. </w:t>
      </w:r>
    </w:p>
    <w:p w:rsidR="00D50845" w:rsidRPr="00D50845" w:rsidRDefault="00D50845" w:rsidP="00D50845">
      <w:pPr>
        <w:pStyle w:val="Default"/>
        <w:rPr>
          <w:rFonts w:ascii="Times New Roman" w:hAnsi="Times New Roman" w:cs="Times New Roman"/>
          <w:b/>
          <w:bCs/>
        </w:rPr>
      </w:pPr>
    </w:p>
    <w:p w:rsidR="00D50845" w:rsidRDefault="00D50845" w:rsidP="00EB74A5">
      <w:pPr>
        <w:pStyle w:val="Default"/>
        <w:jc w:val="both"/>
        <w:rPr>
          <w:rFonts w:ascii="Times New Roman" w:hAnsi="Times New Roman" w:cs="Times New Roman"/>
        </w:rPr>
      </w:pPr>
      <w:r w:rsidRPr="00D50845">
        <w:rPr>
          <w:rFonts w:ascii="Times New Roman" w:hAnsi="Times New Roman" w:cs="Times New Roman"/>
          <w:b/>
          <w:bCs/>
        </w:rPr>
        <w:t xml:space="preserve">Výdavky verejnej správy na vzdelávanie sú naďalej veľmi nízke, čo vedie k slabým výsledkom v oblasti vzdelávania. </w:t>
      </w:r>
      <w:r w:rsidRPr="00D50845">
        <w:rPr>
          <w:rFonts w:ascii="Times New Roman" w:hAnsi="Times New Roman" w:cs="Times New Roman"/>
        </w:rPr>
        <w:t xml:space="preserve">Na úrovni 4,2 % HDP v roku 2014 sú výdavky Slovenska oveľa nižšie, než je priemer EÚ na úrovni 4,9 %. Najnovšie údaje OECD zároveň poukazujú na zvyšovanie každoročných výdavkov na študenta na všetkých úrovniach, ktoré sú však stále nízke na úrovni 70 % priemeru OECD pre prvostupňové vzdelávanie, na úrovni 59 % pre sekundárne vzdelávanie a 65 % pre terciárne vzdelávanie (OECD, 2016a). Vzdelanie je jednou z tém, ktoré sa v roku 2017 majú analyzovať v rámci projektu „Hodnota za peniaze“. </w:t>
      </w:r>
    </w:p>
    <w:p w:rsidR="00D50845" w:rsidRPr="00D50845" w:rsidRDefault="00D50845" w:rsidP="00D50845">
      <w:pPr>
        <w:pStyle w:val="Default"/>
        <w:rPr>
          <w:rFonts w:ascii="Times New Roman" w:hAnsi="Times New Roman" w:cs="Times New Roman"/>
        </w:rPr>
      </w:pPr>
    </w:p>
    <w:p w:rsidR="00D50845" w:rsidRDefault="00D50845" w:rsidP="00EB74A5">
      <w:pPr>
        <w:pStyle w:val="Default"/>
        <w:jc w:val="both"/>
        <w:rPr>
          <w:rFonts w:ascii="Times New Roman" w:hAnsi="Times New Roman" w:cs="Times New Roman"/>
        </w:rPr>
      </w:pPr>
      <w:r w:rsidRPr="00D50845">
        <w:rPr>
          <w:rFonts w:ascii="Times New Roman" w:hAnsi="Times New Roman" w:cs="Times New Roman"/>
          <w:b/>
          <w:bCs/>
        </w:rPr>
        <w:t xml:space="preserve">Nízka účasť na vzdelávaní a starostlivosti v ranom detstve má nepriaznivý vplyv na výsledky v oblasti vzdelávania v budúcnosti (PISA 2015). </w:t>
      </w:r>
      <w:r w:rsidRPr="00D50845">
        <w:rPr>
          <w:rFonts w:ascii="Times New Roman" w:hAnsi="Times New Roman" w:cs="Times New Roman"/>
        </w:rPr>
        <w:t xml:space="preserve">V tejto súvislosti je osobitné problematická nízka účasť rómskych detí na vzdelávaní a starostlivosti v ranom detstve (odhadovaná na úrovni 34 %) (FRA, 2016). Vnútroštátna miera účasti takisto zostáva nízka – v roku 2014 predstavovala 77,4 % oproti priemeru EÚ na úrovni 94,3 % (od štyroch rokov do začiatku povinnej školskej dochádzky). Kapacity sa posilňujú so zameraním na lokality, v ktorých existuje najvyšší neuspokojený dopyt, vysoká miera nezamestnanosti a vysoký podiel marginalizovaných rómskych komunít. Uvažuje sa o tom, že školská dochádzka by bola povinná od veku piatich rokov. </w:t>
      </w:r>
    </w:p>
    <w:p w:rsidR="00D50845" w:rsidRPr="00D50845" w:rsidRDefault="00D50845" w:rsidP="00EB74A5">
      <w:pPr>
        <w:pStyle w:val="Default"/>
        <w:jc w:val="both"/>
        <w:rPr>
          <w:rFonts w:ascii="Times New Roman" w:hAnsi="Times New Roman" w:cs="Times New Roman"/>
        </w:rPr>
      </w:pPr>
    </w:p>
    <w:p w:rsidR="00D50845" w:rsidRDefault="00D50845" w:rsidP="00EB74A5">
      <w:pPr>
        <w:pStyle w:val="Default"/>
        <w:jc w:val="both"/>
        <w:rPr>
          <w:rFonts w:ascii="Times New Roman" w:hAnsi="Times New Roman" w:cs="Times New Roman"/>
        </w:rPr>
      </w:pPr>
      <w:r w:rsidRPr="00D50845">
        <w:rPr>
          <w:rFonts w:ascii="Times New Roman" w:hAnsi="Times New Roman" w:cs="Times New Roman"/>
          <w:b/>
          <w:bCs/>
        </w:rPr>
        <w:t xml:space="preserve">Miera predčasného ukončenia školskej dochádzky zostáva v medzinárodnom porovnaní nízka (6,9 % v roku 2015), no regionálne rozdiely sú vysoké a miera od roku 2010 neustále rastie. </w:t>
      </w:r>
      <w:r w:rsidRPr="00D50845">
        <w:rPr>
          <w:rFonts w:ascii="Times New Roman" w:hAnsi="Times New Roman" w:cs="Times New Roman"/>
        </w:rPr>
        <w:t>Počas uplynulých rokov prekročila vnútroštátny cieľ v rámci stratégie Európa 2020 na úrovni 6 % (pre viac informácií pozri Európska komisia, 2016b). Obavy vyvoláva najmä vysoký odhadovaný podiel rómskych detí, ktorí podľa predpokladov predčasne ukončia školskú dochádzku, pretože to bude mať výrazný vplyv na ich budúce vyhli</w:t>
      </w:r>
      <w:r>
        <w:rPr>
          <w:rFonts w:ascii="Times New Roman" w:hAnsi="Times New Roman" w:cs="Times New Roman"/>
        </w:rPr>
        <w:t>adky na trhu práce (FRA, 2016).</w:t>
      </w:r>
      <w:r w:rsidRPr="00D50845">
        <w:rPr>
          <w:rFonts w:ascii="Times New Roman" w:hAnsi="Times New Roman" w:cs="Times New Roman"/>
        </w:rPr>
        <w:t xml:space="preserve">(23) Keďže Slovensko má jednu z najnižších mier zamestnanosti v EÚ v kategórii osôb bez ukončeného vyššieho sekundárneho vzdelania (33,2 % v porovnaní s priemerom EÚ na úrovni 52,6 % v roku 2015), sociálno-ekonomické náklady súvisiace s predčasným ukončovaním školskej dochádzky sú mimoriadne vysoké. </w:t>
      </w:r>
    </w:p>
    <w:p w:rsidR="00D50845" w:rsidRDefault="00D50845" w:rsidP="00D50845">
      <w:pPr>
        <w:pStyle w:val="Default"/>
        <w:rPr>
          <w:rFonts w:ascii="Times New Roman" w:hAnsi="Times New Roman" w:cs="Times New Roman"/>
        </w:rPr>
      </w:pPr>
    </w:p>
    <w:p w:rsidR="00D50845" w:rsidRPr="00D50845" w:rsidRDefault="00D50845" w:rsidP="00D50845">
      <w:pPr>
        <w:pStyle w:val="Default"/>
        <w:rPr>
          <w:rFonts w:ascii="Times New Roman" w:hAnsi="Times New Roman" w:cs="Times New Roman"/>
          <w:sz w:val="18"/>
          <w:szCs w:val="18"/>
        </w:rPr>
      </w:pPr>
      <w:r w:rsidRPr="00D50845">
        <w:rPr>
          <w:rFonts w:ascii="Times New Roman" w:hAnsi="Times New Roman" w:cs="Times New Roman"/>
          <w:sz w:val="18"/>
          <w:szCs w:val="18"/>
        </w:rPr>
        <w:t xml:space="preserve">(23) FRA odhaduje, že 58 % rómskych detí ukončí školskú dochádzku predčasne. </w:t>
      </w:r>
    </w:p>
    <w:p w:rsidR="00D50845" w:rsidRDefault="00D50845" w:rsidP="00D50845">
      <w:pPr>
        <w:pStyle w:val="Default"/>
        <w:rPr>
          <w:rFonts w:ascii="Times New Roman" w:hAnsi="Times New Roman" w:cs="Times New Roman"/>
          <w:sz w:val="18"/>
          <w:szCs w:val="18"/>
        </w:rPr>
      </w:pPr>
    </w:p>
    <w:p w:rsidR="00EB74A5" w:rsidRPr="00D50845" w:rsidRDefault="00EB74A5" w:rsidP="00D50845">
      <w:pPr>
        <w:pStyle w:val="Default"/>
        <w:rPr>
          <w:rFonts w:ascii="Times New Roman" w:hAnsi="Times New Roman" w:cs="Times New Roman"/>
          <w:sz w:val="18"/>
          <w:szCs w:val="18"/>
        </w:rPr>
      </w:pPr>
    </w:p>
    <w:p w:rsidR="00D50845" w:rsidRDefault="00D50845" w:rsidP="00D50845">
      <w:pPr>
        <w:pStyle w:val="Default"/>
        <w:rPr>
          <w:rFonts w:ascii="Times New Roman" w:hAnsi="Times New Roman" w:cs="Times New Roman"/>
          <w:b/>
          <w:bCs/>
        </w:rPr>
      </w:pPr>
    </w:p>
    <w:p w:rsidR="00D50845" w:rsidRDefault="00D50845" w:rsidP="00D50845">
      <w:pPr>
        <w:pStyle w:val="Default"/>
        <w:rPr>
          <w:rFonts w:ascii="Times New Roman" w:hAnsi="Times New Roman" w:cs="Times New Roman"/>
        </w:rPr>
      </w:pPr>
      <w:r w:rsidRPr="00D50845">
        <w:rPr>
          <w:rFonts w:ascii="Times New Roman" w:hAnsi="Times New Roman" w:cs="Times New Roman"/>
          <w:b/>
          <w:bCs/>
        </w:rPr>
        <w:lastRenderedPageBreak/>
        <w:t xml:space="preserve">Vážne obavy vyvoláva nerovnosť vo vzdelávaní. </w:t>
      </w:r>
      <w:r w:rsidRPr="00D50845">
        <w:rPr>
          <w:rFonts w:ascii="Times New Roman" w:hAnsi="Times New Roman" w:cs="Times New Roman"/>
        </w:rPr>
        <w:t>Najnovšie údaje poukazujú na to, že značný podiel rómskych detí navštevuje špeciálne školy alebo t</w:t>
      </w:r>
      <w:r>
        <w:rPr>
          <w:rFonts w:ascii="Times New Roman" w:hAnsi="Times New Roman" w:cs="Times New Roman"/>
        </w:rPr>
        <w:t>riedy (FRA, 2016).</w:t>
      </w:r>
      <w:r w:rsidRPr="00D50845">
        <w:rPr>
          <w:rFonts w:ascii="Times New Roman" w:hAnsi="Times New Roman" w:cs="Times New Roman"/>
        </w:rPr>
        <w:t xml:space="preserve">(24) </w:t>
      </w:r>
    </w:p>
    <w:p w:rsidR="00D50845" w:rsidRPr="00D50845" w:rsidRDefault="00D50845" w:rsidP="00D50845">
      <w:pPr>
        <w:pStyle w:val="Default"/>
        <w:rPr>
          <w:rFonts w:ascii="Times New Roman" w:hAnsi="Times New Roman" w:cs="Times New Roman"/>
        </w:rPr>
      </w:pPr>
    </w:p>
    <w:p w:rsidR="00D50845" w:rsidRPr="00D50845" w:rsidRDefault="00D50845" w:rsidP="00EB74A5">
      <w:pPr>
        <w:pStyle w:val="Default"/>
        <w:jc w:val="both"/>
        <w:rPr>
          <w:rFonts w:ascii="Times New Roman" w:hAnsi="Times New Roman" w:cs="Times New Roman"/>
          <w:color w:val="auto"/>
        </w:rPr>
      </w:pPr>
      <w:r w:rsidRPr="00D50845">
        <w:rPr>
          <w:rFonts w:ascii="Times New Roman" w:hAnsi="Times New Roman" w:cs="Times New Roman"/>
        </w:rPr>
        <w:t xml:space="preserve">Čiastočne to možno vysvetliť nerovnomernou distribúciou rómskeho obyvateľstva v krajine. Okrem toho sa odhaduje, že podiel rómskych žiakov, ktorí navštevujú špeciálne školy, patrí medzi najvyššie v regióne (FRA, 2016). Podľa údajov ministerstva školstva </w:t>
      </w:r>
      <w:r w:rsidRPr="00D50845">
        <w:rPr>
          <w:rFonts w:ascii="Times New Roman" w:hAnsi="Times New Roman" w:cs="Times New Roman"/>
          <w:color w:val="auto"/>
        </w:rPr>
        <w:t xml:space="preserve">podiel žiakov so špeciálnymi potrebami, ktorí sa učia v špeciálnych školách/triedach, vzrástol zo 4,7 % v roku 2006 na 6,2 % v roku 2015, pričom v chudobnejších regiónoch je oveľa vyšší. Vplyv navštevovania tzv. nultých ročníkov na dosahovanie vzdelania a rovnosť analyzovala v roku 2015 Štátna školská inšpekcia vo väčšine škôl. Z výsledkov vyplynulo, že 81 % žiakov pokračovalo vo vzdelávaní v hlavnom vzdelávacom prúde. Prax zriaďovania detašovaných pracovísk odborných škôl v blízkosti rómskych osád je navyše znepokojujúca, pretože disponujú nedostatočným vybavením, neponúkajú dostatočné možnosti študijných programov a zohrávajú úlohu pri zabraňovaní inkluzívnemu vzdelávaniu (Balážová, 2015). </w:t>
      </w:r>
    </w:p>
    <w:p w:rsidR="00EB74A5" w:rsidRDefault="00EB74A5" w:rsidP="00D50845">
      <w:pPr>
        <w:pStyle w:val="Default"/>
        <w:rPr>
          <w:rFonts w:ascii="Times New Roman" w:hAnsi="Times New Roman" w:cs="Times New Roman"/>
          <w:b/>
          <w:bCs/>
          <w:color w:val="auto"/>
        </w:rPr>
      </w:pPr>
    </w:p>
    <w:p w:rsidR="00EB74A5" w:rsidRDefault="00D50845" w:rsidP="00EB74A5">
      <w:pPr>
        <w:pStyle w:val="Default"/>
        <w:jc w:val="both"/>
        <w:rPr>
          <w:rFonts w:ascii="Times New Roman" w:hAnsi="Times New Roman" w:cs="Times New Roman"/>
          <w:b/>
          <w:bCs/>
          <w:color w:val="auto"/>
        </w:rPr>
      </w:pPr>
      <w:r w:rsidRPr="00D50845">
        <w:rPr>
          <w:rFonts w:ascii="Times New Roman" w:hAnsi="Times New Roman" w:cs="Times New Roman"/>
          <w:b/>
          <w:bCs/>
          <w:color w:val="auto"/>
        </w:rPr>
        <w:t>Reforma na podporu sociálne a etnicky inkluzívneho vzdelávania nadobudla účinnosť v roku 2016, ale jej účinné vykonávanie bude závisieť od politickej vôle. (</w:t>
      </w:r>
      <w:r w:rsidRPr="00D50845">
        <w:rPr>
          <w:rFonts w:ascii="Times New Roman" w:hAnsi="Times New Roman" w:cs="Times New Roman"/>
          <w:color w:val="auto"/>
        </w:rPr>
        <w:t>25</w:t>
      </w:r>
      <w:r w:rsidRPr="00D50845">
        <w:rPr>
          <w:rFonts w:ascii="Times New Roman" w:hAnsi="Times New Roman" w:cs="Times New Roman"/>
          <w:b/>
          <w:bCs/>
          <w:color w:val="auto"/>
        </w:rPr>
        <w:t xml:space="preserve">) </w:t>
      </w:r>
      <w:r w:rsidRPr="00D50845">
        <w:rPr>
          <w:rFonts w:ascii="Times New Roman" w:hAnsi="Times New Roman" w:cs="Times New Roman"/>
          <w:color w:val="auto"/>
        </w:rPr>
        <w:t>Reforma sa zameriava na nevhodné umiestňovanie detí do špeciálnych škôl alebo tried, a to výhradne na základe ich znevýhodneného sociálno-ekonomického zázemia. Štátna školská inšpekcia a verejný ochranca práv poukázali na praktické problémy uvádzania reformy do praxe, ako napríklad využívanie vhodných skríningových testov, včasná opätovná diagnostika, umiestňovanie žiakov z radov špeciálneho vzdelávania s jednoduchšími osnovami späť do hlavného prúdu vzdelávania alebo získavanie súhlasu rodičov. Aj keď došlo k posilneniu právomocí štátnej školskej inšpekcie v oblasti smerovania vzdelávania do inkluzívnej oblasti, toto posilnenie nebolo dostatočné a existujú realizačné nedostatky, ktoré treba riešiť. Reforme budú sekundovať dva projekty financované z ESF zamerané na zabezpečenie dodatočných pedagogických pracovníkov na podporu inkluzívneho vzdelávania, pričom tieto projekty ponúkajú programy na podporu slabších žiakov, ako aj neformálne vzdelávanie pre deti, ktoré sa nezúčastňujú vzdelávania v ranom detstve, a podporujú presun žiakov so špeciálnymi výchovno-vzdelávacími potrebami do hlavného prúdu vzdelávania. Vplyv projektu však môže byť obmedzený, pretože projekt sa týka len 130 škôl a 50 materských š</w:t>
      </w:r>
      <w:r w:rsidR="00EB74A5">
        <w:rPr>
          <w:rFonts w:ascii="Times New Roman" w:hAnsi="Times New Roman" w:cs="Times New Roman"/>
          <w:color w:val="auto"/>
        </w:rPr>
        <w:t xml:space="preserve">kôl (Európska komisia, 2016a). </w:t>
      </w:r>
    </w:p>
    <w:p w:rsidR="00D50845" w:rsidRDefault="00D50845" w:rsidP="00EB74A5">
      <w:pPr>
        <w:pStyle w:val="Default"/>
        <w:jc w:val="both"/>
        <w:rPr>
          <w:rFonts w:ascii="Times New Roman" w:hAnsi="Times New Roman" w:cs="Times New Roman"/>
          <w:color w:val="auto"/>
        </w:rPr>
      </w:pPr>
      <w:r w:rsidRPr="00D50845">
        <w:rPr>
          <w:rFonts w:ascii="Times New Roman" w:hAnsi="Times New Roman" w:cs="Times New Roman"/>
          <w:b/>
          <w:bCs/>
          <w:color w:val="auto"/>
        </w:rPr>
        <w:t xml:space="preserve">Uskutočnili sa úvodné kroky na zvýšenie atraktívnosti učiteľského povolania. </w:t>
      </w:r>
      <w:r w:rsidRPr="00D50845">
        <w:rPr>
          <w:rFonts w:ascii="Times New Roman" w:hAnsi="Times New Roman" w:cs="Times New Roman"/>
          <w:color w:val="auto"/>
        </w:rPr>
        <w:t xml:space="preserve">Platy učiteľov boli už nejaký čas na nízkej úrovni, a to tak v medzinárodnom porovnaní, ako aj v porovnaní s platmi pracovníkov s podobnou úrovňou kvalifikácie (graf 3.3.7). V septembri 2016 sa platy zvýšili o 6 % a v rámci kolektívneho vyjednávania bol dohodnutý ďalší nárast o 6 % v septembri 2017. Ďalšie priemerné ročné zvýšenie o 6 % je plánované na obdobie rokov 2018 – 2020 (Ministerstvo financií, 2016). Pri mladších učiteľoch sa uvažuje o rýchlejšom zvyšovaní platov. (26) Učitelia však považujú tieto zvýšenia za nedostatočné a niektorí z nich pokračovali v roku 2016 v štrajkoch. Popri zvyšovaní platov vláda plánuje obnoviť atraktívnosť učiteľského povolania aj zvyšovaním štandardov na prijatie na programy odbornej prípravy učiteľov a ich úspešné ukončenie. Zároveň existujú plány s podporou z ESF zlepšiť kvalitu úvodnej odbornej prípravy učiteľov, a to najmä zlepšením praktickej odbornej prípravy a ďalším profesionálnym rozvojom. Po zvážení všetkých skutočností možno konštatovať, že je ešte stále príliš skoro na to, aby sa posúdili plánované reformy týkajúce sa odbornej prípravy učiteľov a ich ďalšieho profesionálneho rozvoja. </w:t>
      </w:r>
    </w:p>
    <w:p w:rsidR="00EB74A5" w:rsidRDefault="00EB74A5" w:rsidP="00D50845">
      <w:pPr>
        <w:pStyle w:val="Default"/>
        <w:rPr>
          <w:rFonts w:ascii="Times New Roman" w:hAnsi="Times New Roman" w:cs="Times New Roman"/>
          <w:sz w:val="18"/>
          <w:szCs w:val="18"/>
        </w:rPr>
      </w:pPr>
    </w:p>
    <w:p w:rsidR="00EB74A5" w:rsidRPr="00D50845" w:rsidRDefault="00EB74A5" w:rsidP="00D50845">
      <w:pPr>
        <w:pStyle w:val="Default"/>
        <w:rPr>
          <w:rFonts w:ascii="Times New Roman" w:hAnsi="Times New Roman" w:cs="Times New Roman"/>
          <w:color w:val="auto"/>
        </w:rPr>
      </w:pPr>
      <w:r w:rsidRPr="00D50845">
        <w:rPr>
          <w:rFonts w:ascii="Times New Roman" w:hAnsi="Times New Roman" w:cs="Times New Roman"/>
          <w:sz w:val="18"/>
          <w:szCs w:val="18"/>
        </w:rPr>
        <w:t>(24) V prieskume Agentúry pre základné práva (FRA) z roku 2016 sa uvádza, že 62 % rómskych detí na Slovensku navštevuje školu, v ktorej všetky alebo väčšina detí sú Rómovia (FRA, 2016). Na základe odlišnej metodiky sa v indexe integrácie Rómov z roku 2015 odhaduje, že 52 % rómskych detí sa vzdeláva v segregovaných školách (Roma Decade, 2015).</w:t>
      </w:r>
    </w:p>
    <w:p w:rsidR="00EB74A5" w:rsidRPr="00EB74A5" w:rsidRDefault="00EB74A5" w:rsidP="00D50845">
      <w:pPr>
        <w:pStyle w:val="Default"/>
        <w:rPr>
          <w:rFonts w:ascii="Times New Roman" w:hAnsi="Times New Roman" w:cs="Times New Roman"/>
          <w:sz w:val="18"/>
          <w:szCs w:val="18"/>
        </w:rPr>
      </w:pPr>
      <w:r w:rsidRPr="00EB74A5">
        <w:rPr>
          <w:rFonts w:ascii="Times New Roman" w:hAnsi="Times New Roman" w:cs="Times New Roman"/>
          <w:sz w:val="18"/>
          <w:szCs w:val="18"/>
        </w:rPr>
        <w:t xml:space="preserve">(25) Pre ďalšie informácie pozri Európska komisia, 2016b. </w:t>
      </w:r>
    </w:p>
    <w:p w:rsidR="00D50845" w:rsidRPr="00D50845" w:rsidRDefault="00D50845" w:rsidP="00D50845">
      <w:pPr>
        <w:pStyle w:val="Default"/>
        <w:rPr>
          <w:rFonts w:ascii="Times New Roman" w:hAnsi="Times New Roman" w:cs="Times New Roman"/>
          <w:color w:val="auto"/>
        </w:rPr>
      </w:pPr>
      <w:r w:rsidRPr="00EB74A5">
        <w:rPr>
          <w:rFonts w:ascii="Times New Roman" w:hAnsi="Times New Roman" w:cs="Times New Roman"/>
          <w:sz w:val="18"/>
          <w:szCs w:val="18"/>
        </w:rPr>
        <w:t>(26) Je to v dôsledku toho, že k tomuto povolaniu treba prilákať talentovaných mladých ľudí, ako aj v dôsledku skutočnosti, že v medzinárodných porovnaniach je rozdiel medzi platmi väčší pri mladších učiteľoch než pri tých starších (IVP, 2015).</w:t>
      </w:r>
      <w:r w:rsidRPr="00D50845">
        <w:rPr>
          <w:rFonts w:ascii="Times New Roman" w:hAnsi="Times New Roman" w:cs="Times New Roman"/>
        </w:rPr>
        <w:t xml:space="preserve"> </w:t>
      </w:r>
    </w:p>
    <w:p w:rsidR="00B062C4" w:rsidRDefault="00B062C4">
      <w:pPr>
        <w:rPr>
          <w:rFonts w:ascii="Times New Roman" w:hAnsi="Times New Roman" w:cs="Times New Roman"/>
          <w:sz w:val="24"/>
          <w:szCs w:val="24"/>
        </w:rPr>
      </w:pPr>
    </w:p>
    <w:p w:rsidR="00EB74A5" w:rsidRDefault="00EB74A5" w:rsidP="00EB74A5">
      <w:pPr>
        <w:autoSpaceDE w:val="0"/>
        <w:autoSpaceDN w:val="0"/>
        <w:adjustRightInd w:val="0"/>
        <w:spacing w:after="0" w:line="240" w:lineRule="auto"/>
        <w:jc w:val="both"/>
        <w:rPr>
          <w:rFonts w:ascii="Times New Roman" w:hAnsi="Times New Roman" w:cs="Times New Roman"/>
          <w:b/>
          <w:bCs/>
          <w:color w:val="000000"/>
          <w:sz w:val="24"/>
          <w:szCs w:val="24"/>
        </w:rPr>
      </w:pPr>
    </w:p>
    <w:p w:rsidR="00EB74A5" w:rsidRPr="00EB74A5" w:rsidRDefault="00EB74A5" w:rsidP="00EB74A5">
      <w:pPr>
        <w:autoSpaceDE w:val="0"/>
        <w:autoSpaceDN w:val="0"/>
        <w:adjustRightInd w:val="0"/>
        <w:spacing w:after="0" w:line="240" w:lineRule="auto"/>
        <w:jc w:val="both"/>
        <w:rPr>
          <w:rFonts w:ascii="Times New Roman" w:hAnsi="Times New Roman" w:cs="Times New Roman"/>
          <w:color w:val="000000"/>
          <w:sz w:val="24"/>
          <w:szCs w:val="24"/>
        </w:rPr>
      </w:pPr>
      <w:r w:rsidRPr="00EB74A5">
        <w:rPr>
          <w:rFonts w:ascii="Times New Roman" w:hAnsi="Times New Roman" w:cs="Times New Roman"/>
          <w:b/>
          <w:bCs/>
          <w:color w:val="000000"/>
          <w:sz w:val="24"/>
          <w:szCs w:val="24"/>
        </w:rPr>
        <w:t xml:space="preserve">Slovensko pripravuje reformu vysokoškolského vzdelávania s cieľom zvýšiť jeho kvalitu a relevantnosť pre trh práce. </w:t>
      </w:r>
      <w:r w:rsidRPr="00EB74A5">
        <w:rPr>
          <w:rFonts w:ascii="Times New Roman" w:hAnsi="Times New Roman" w:cs="Times New Roman"/>
          <w:color w:val="000000"/>
          <w:sz w:val="24"/>
          <w:szCs w:val="24"/>
        </w:rPr>
        <w:t xml:space="preserve">Miera dosahovania terciárneho vzdelania vo vekovej skupine 30- až 34-ročných sa v roku 2015 zvýšila na 28,4 % a v priebehu uplynulého desaťročia sa zdvojnásobila. Zostáva však výrazne pod priemerom EÚ, ktorý je na úrovni 38,7 %, ako aj pod národným cieľom v rámci stratégie Európa 2020, ktorý je na úrovni 40 %. Podiel mladých dospelých s prvostupňovým terciárnym vzdelaním alebo titulom bakalára je nižší, než je priemer OECD, zatiaľ čo v prípade titulu magistra je pravdou opak (OECD, 2016a). Slovenskí dospelí s terciárnym vzdelaním zarábajú o 70 % viac než osoby, ktoré dosiahli najviac vyššie sekundárne vzdelanie. V súčasnosti stále chýba sledovanie uplatnenia absolventov a výkonnostné dohody s inštitúciami vysokoškolského vzdelávania. Napokon nutno konštatovať, že viac než 10 % končiacich absolventov univerzít opustilo Slovensko. Tento pomer je obzvlášť výrazný napr. medzi absolventmi medicíny a technických oblastí. (IFP, 2017). </w:t>
      </w:r>
    </w:p>
    <w:p w:rsidR="00EB74A5" w:rsidRDefault="00EB74A5" w:rsidP="00EB74A5">
      <w:pPr>
        <w:autoSpaceDE w:val="0"/>
        <w:autoSpaceDN w:val="0"/>
        <w:adjustRightInd w:val="0"/>
        <w:spacing w:after="0" w:line="240" w:lineRule="auto"/>
        <w:rPr>
          <w:rFonts w:ascii="Times New Roman" w:hAnsi="Times New Roman" w:cs="Times New Roman"/>
          <w:b/>
          <w:bCs/>
          <w:color w:val="000000"/>
          <w:sz w:val="24"/>
          <w:szCs w:val="24"/>
        </w:rPr>
      </w:pPr>
    </w:p>
    <w:p w:rsidR="00EB74A5" w:rsidRPr="00EB74A5" w:rsidRDefault="00EB74A5" w:rsidP="00EB74A5">
      <w:pPr>
        <w:autoSpaceDE w:val="0"/>
        <w:autoSpaceDN w:val="0"/>
        <w:adjustRightInd w:val="0"/>
        <w:spacing w:after="0" w:line="240" w:lineRule="auto"/>
        <w:jc w:val="both"/>
        <w:rPr>
          <w:rFonts w:ascii="Times New Roman" w:hAnsi="Times New Roman" w:cs="Times New Roman"/>
          <w:color w:val="000000"/>
          <w:sz w:val="24"/>
          <w:szCs w:val="24"/>
        </w:rPr>
      </w:pPr>
      <w:r w:rsidRPr="00EB74A5">
        <w:rPr>
          <w:rFonts w:ascii="Times New Roman" w:hAnsi="Times New Roman" w:cs="Times New Roman"/>
          <w:b/>
          <w:bCs/>
          <w:color w:val="000000"/>
          <w:sz w:val="24"/>
          <w:szCs w:val="24"/>
        </w:rPr>
        <w:t xml:space="preserve">Tento sektor je predmetom rozsiahlej reformy, ktorá sa vzťahuje na akreditáciu, zosúladenie s normami EÚ, ako aj financovanie a spoluprácu so zamestnávateľmi. </w:t>
      </w:r>
      <w:r w:rsidRPr="00EB74A5">
        <w:rPr>
          <w:rFonts w:ascii="Times New Roman" w:hAnsi="Times New Roman" w:cs="Times New Roman"/>
          <w:color w:val="000000"/>
          <w:sz w:val="24"/>
          <w:szCs w:val="24"/>
        </w:rPr>
        <w:t xml:space="preserve">Inštitúciám vyššieho vzdelávania je ponúkaná podpora z ESF na vypracovanie krátkych, profesionálne orientovaných programov. Plánuje sa, že zmena existujúcich právnych predpisov o vysokoškolskom vzdelávaní bude prijatá v roku 2017 a v roku 2018 nadobudne platnosť. V súčasnosti sa diskutuje aj o dvoch súvisiacich stratégiách vrátane jednej v oblasti vysokoškolského vzdelávania. Obe by nakoniec mohli byť zlúčené do jedného strategického a dlhodobého dokumentu, ktorý má vláda prijať v apríli 2017. Zdá sa, že všetky tieto oznámené snahy idú správnym smerom, no ešte ich treba pretaviť do konkrétnych návrhov. </w:t>
      </w:r>
    </w:p>
    <w:p w:rsidR="00EB74A5" w:rsidRDefault="00EB74A5" w:rsidP="00EB74A5">
      <w:pPr>
        <w:autoSpaceDE w:val="0"/>
        <w:autoSpaceDN w:val="0"/>
        <w:adjustRightInd w:val="0"/>
        <w:spacing w:after="0" w:line="240" w:lineRule="auto"/>
        <w:rPr>
          <w:rFonts w:ascii="Times New Roman" w:hAnsi="Times New Roman" w:cs="Times New Roman"/>
          <w:b/>
          <w:bCs/>
          <w:color w:val="000000"/>
          <w:sz w:val="24"/>
          <w:szCs w:val="24"/>
        </w:rPr>
      </w:pPr>
    </w:p>
    <w:p w:rsidR="00EB74A5" w:rsidRPr="00EB74A5" w:rsidRDefault="00EB74A5" w:rsidP="00EB74A5">
      <w:pPr>
        <w:autoSpaceDE w:val="0"/>
        <w:autoSpaceDN w:val="0"/>
        <w:adjustRightInd w:val="0"/>
        <w:spacing w:after="0" w:line="240" w:lineRule="auto"/>
        <w:jc w:val="both"/>
        <w:rPr>
          <w:rFonts w:ascii="Times New Roman" w:hAnsi="Times New Roman" w:cs="Times New Roman"/>
          <w:color w:val="000000"/>
          <w:sz w:val="24"/>
          <w:szCs w:val="24"/>
        </w:rPr>
      </w:pPr>
      <w:r w:rsidRPr="00EB74A5">
        <w:rPr>
          <w:rFonts w:ascii="Times New Roman" w:hAnsi="Times New Roman" w:cs="Times New Roman"/>
          <w:b/>
          <w:bCs/>
          <w:color w:val="000000"/>
          <w:sz w:val="24"/>
          <w:szCs w:val="24"/>
        </w:rPr>
        <w:t xml:space="preserve">Systém duálneho odborného vzdelávania a prípravy, navrhnutý v snahe splniť potreby priemyslu, vstúpil do svojho druhého roku vykonávania. </w:t>
      </w:r>
      <w:r w:rsidRPr="00EB74A5">
        <w:rPr>
          <w:rFonts w:ascii="Times New Roman" w:hAnsi="Times New Roman" w:cs="Times New Roman"/>
          <w:color w:val="000000"/>
          <w:sz w:val="24"/>
          <w:szCs w:val="24"/>
        </w:rPr>
        <w:t xml:space="preserve">Rastúci podiel výrobných spoločností hlási problémy pri prijímaní ľudí so správnou kvalifikáciou, napríklad v automobilovom priemysel (European Business Statistics, 2016). Hoci záujem zamestnávateľov o duálne odborné vzdelávanie a prípravu rastie, pre mladých ľudí (27) alebo určité školy sa program nejaví ako dostatočne príťažlivý. Cielené úsilie zamerané na zvýšenie informovanosti o výhodách duálneho odborného vzdelávania a prípravy medzi mladými ľuďmi v rámci povinnej školskej dochádzky a ich rodinami je nedostatočné. Existuje napríklad potreba priamejšieho zapojenia spoločností a sociálnych partnerov do činností usmerňovania a komunikácie. Nedostatočné rozvinuté sú najmä inovačné schémy, ktorých cieľom by malo byť zatraktívnenie povolaní zaznamenávajúcich nedostatok kvalifikovanej pracovnej sily. Ako pozitívny príklad môže slúžiť prax, ktorá je už v niektorých spoločnostiach zavedená a v rámci ktorej je mladým ľuďom, ktorí vstúpia do ich programu duálneho odborného vzdelávania a prípravy, ponúknutá „záruka práce“. </w:t>
      </w:r>
    </w:p>
    <w:p w:rsidR="00EB74A5" w:rsidRDefault="00EB74A5" w:rsidP="00EB74A5">
      <w:pPr>
        <w:rPr>
          <w:rFonts w:ascii="Times New Roman" w:hAnsi="Times New Roman" w:cs="Times New Roman"/>
          <w:color w:val="000000"/>
          <w:sz w:val="24"/>
          <w:szCs w:val="24"/>
        </w:rPr>
      </w:pPr>
    </w:p>
    <w:p w:rsidR="00EB74A5" w:rsidRDefault="00EB74A5" w:rsidP="00EB74A5">
      <w:pPr>
        <w:rPr>
          <w:rFonts w:ascii="Times New Roman" w:hAnsi="Times New Roman" w:cs="Times New Roman"/>
          <w:color w:val="000000"/>
          <w:sz w:val="24"/>
          <w:szCs w:val="24"/>
        </w:rPr>
      </w:pPr>
    </w:p>
    <w:p w:rsidR="00EB74A5" w:rsidRDefault="00EB74A5" w:rsidP="00EB74A5">
      <w:pPr>
        <w:rPr>
          <w:rFonts w:ascii="Times New Roman" w:hAnsi="Times New Roman" w:cs="Times New Roman"/>
          <w:color w:val="000000"/>
          <w:sz w:val="24"/>
          <w:szCs w:val="24"/>
        </w:rPr>
      </w:pPr>
    </w:p>
    <w:p w:rsidR="00EB74A5" w:rsidRDefault="00EB74A5" w:rsidP="00EB74A5">
      <w:pPr>
        <w:rPr>
          <w:rFonts w:ascii="Times New Roman" w:hAnsi="Times New Roman" w:cs="Times New Roman"/>
          <w:color w:val="000000"/>
          <w:sz w:val="24"/>
          <w:szCs w:val="24"/>
        </w:rPr>
      </w:pPr>
    </w:p>
    <w:p w:rsidR="00EB74A5" w:rsidRDefault="00EB74A5" w:rsidP="00EB74A5">
      <w:pPr>
        <w:rPr>
          <w:rFonts w:ascii="Times New Roman" w:hAnsi="Times New Roman" w:cs="Times New Roman"/>
          <w:color w:val="000000"/>
          <w:sz w:val="24"/>
          <w:szCs w:val="24"/>
        </w:rPr>
      </w:pPr>
    </w:p>
    <w:p w:rsidR="00EB74A5" w:rsidRPr="00EB74A5" w:rsidRDefault="00EB74A5" w:rsidP="00EB74A5">
      <w:pPr>
        <w:rPr>
          <w:rFonts w:ascii="Times New Roman" w:hAnsi="Times New Roman" w:cs="Times New Roman"/>
          <w:sz w:val="18"/>
          <w:szCs w:val="18"/>
        </w:rPr>
      </w:pPr>
      <w:r w:rsidRPr="00EB74A5">
        <w:rPr>
          <w:rFonts w:ascii="Times New Roman" w:hAnsi="Times New Roman" w:cs="Times New Roman"/>
          <w:color w:val="000000"/>
          <w:sz w:val="18"/>
          <w:szCs w:val="18"/>
        </w:rPr>
        <w:t xml:space="preserve">(27) Na školský rok 2016 – 2017 sa do tejto schémy prihlásilo 293 spoločností, v rámci čoho bolo poskytnutých 2 763 učňovských miest, ale z dôvodu nedostatočného záujmu bolo podpísaných len 1 121 nových zmlúv so 142  </w:t>
      </w:r>
      <w:r>
        <w:rPr>
          <w:rFonts w:ascii="Times New Roman" w:hAnsi="Times New Roman" w:cs="Times New Roman"/>
          <w:color w:val="000000"/>
          <w:sz w:val="18"/>
          <w:szCs w:val="18"/>
        </w:rPr>
        <w:t>spoločnosťami</w:t>
      </w:r>
    </w:p>
    <w:sectPr w:rsidR="00EB74A5" w:rsidRPr="00EB74A5" w:rsidSect="00EB74A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20"/>
    <w:rsid w:val="004551FB"/>
    <w:rsid w:val="00714820"/>
    <w:rsid w:val="00B062C4"/>
    <w:rsid w:val="00D50845"/>
    <w:rsid w:val="00EB74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50845"/>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5084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1688</Words>
  <Characters>9624</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OZPSaV na Slovensku</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Stodolovsky</dc:creator>
  <cp:keywords/>
  <dc:description/>
  <cp:lastModifiedBy>Juraj Stodolovsky</cp:lastModifiedBy>
  <cp:revision>5</cp:revision>
  <dcterms:created xsi:type="dcterms:W3CDTF">2017-02-24T09:37:00Z</dcterms:created>
  <dcterms:modified xsi:type="dcterms:W3CDTF">2017-02-24T09:56:00Z</dcterms:modified>
</cp:coreProperties>
</file>